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106" w:rsidRDefault="00A35106"/>
    <w:p w:rsidR="009E2C85" w:rsidRPr="009434F8" w:rsidRDefault="009E2C85" w:rsidP="009E2C85">
      <w:pPr>
        <w:rPr>
          <w:rFonts w:ascii="Arial Narrow" w:hAnsi="Arial Narrow" w:cs="Arial"/>
          <w:b/>
          <w:bCs/>
          <w:sz w:val="20"/>
          <w:szCs w:val="20"/>
        </w:rPr>
      </w:pPr>
      <w:r w:rsidRPr="009434F8">
        <w:rPr>
          <w:rFonts w:ascii="Arial Narrow" w:hAnsi="Arial Narrow" w:cs="Arial"/>
          <w:b/>
          <w:bCs/>
          <w:sz w:val="20"/>
          <w:szCs w:val="20"/>
        </w:rPr>
        <w:t xml:space="preserve">İMMÜNOHİSTOKİMYASAL TEST KİTİ </w:t>
      </w:r>
      <w:bookmarkStart w:id="0" w:name="_GoBack"/>
      <w:bookmarkEnd w:id="0"/>
    </w:p>
    <w:p w:rsidR="009E2C85" w:rsidRPr="009434F8" w:rsidRDefault="009E2C85" w:rsidP="009E2C85">
      <w:pPr>
        <w:numPr>
          <w:ilvl w:val="0"/>
          <w:numId w:val="1"/>
        </w:numPr>
        <w:rPr>
          <w:rFonts w:ascii="Arial Narrow" w:hAnsi="Arial Narrow" w:cs="Arial"/>
          <w:sz w:val="20"/>
          <w:szCs w:val="20"/>
        </w:rPr>
      </w:pPr>
      <w:r w:rsidRPr="009434F8">
        <w:rPr>
          <w:rFonts w:ascii="Arial Narrow" w:hAnsi="Arial Narrow" w:cs="Arial"/>
          <w:sz w:val="20"/>
          <w:szCs w:val="20"/>
        </w:rPr>
        <w:t>Testler in-</w:t>
      </w:r>
      <w:proofErr w:type="spellStart"/>
      <w:r w:rsidRPr="009434F8">
        <w:rPr>
          <w:rFonts w:ascii="Arial Narrow" w:hAnsi="Arial Narrow" w:cs="Arial"/>
          <w:sz w:val="20"/>
          <w:szCs w:val="20"/>
        </w:rPr>
        <w:t>vitro</w:t>
      </w:r>
      <w:proofErr w:type="spellEnd"/>
      <w:r w:rsidRPr="009434F8">
        <w:rPr>
          <w:rFonts w:ascii="Arial Narrow" w:hAnsi="Arial Narrow" w:cs="Arial"/>
          <w:sz w:val="20"/>
          <w:szCs w:val="20"/>
        </w:rPr>
        <w:t xml:space="preserve"> </w:t>
      </w:r>
      <w:proofErr w:type="spellStart"/>
      <w:r w:rsidRPr="009434F8">
        <w:rPr>
          <w:rFonts w:ascii="Arial Narrow" w:hAnsi="Arial Narrow" w:cs="Arial"/>
          <w:sz w:val="20"/>
          <w:szCs w:val="20"/>
        </w:rPr>
        <w:t>diagnostik</w:t>
      </w:r>
      <w:proofErr w:type="spellEnd"/>
      <w:r w:rsidRPr="009434F8">
        <w:rPr>
          <w:rFonts w:ascii="Arial Narrow" w:hAnsi="Arial Narrow" w:cs="Arial"/>
          <w:sz w:val="20"/>
          <w:szCs w:val="20"/>
        </w:rPr>
        <w:t xml:space="preserve"> (Teşhis amaçlı) olmalıdır.</w:t>
      </w:r>
    </w:p>
    <w:p w:rsidR="009E2C85" w:rsidRPr="009434F8" w:rsidRDefault="009E2C85" w:rsidP="009E2C85">
      <w:pPr>
        <w:numPr>
          <w:ilvl w:val="0"/>
          <w:numId w:val="1"/>
        </w:numPr>
        <w:rPr>
          <w:rFonts w:ascii="Arial Narrow" w:hAnsi="Arial Narrow" w:cs="Arial"/>
          <w:sz w:val="20"/>
          <w:szCs w:val="20"/>
        </w:rPr>
      </w:pPr>
      <w:r w:rsidRPr="009434F8">
        <w:rPr>
          <w:rFonts w:ascii="Arial Narrow" w:hAnsi="Arial Narrow" w:cs="Arial"/>
          <w:sz w:val="20"/>
          <w:szCs w:val="20"/>
        </w:rPr>
        <w:t>Testler en az aşağıdaki malzemeleri kapsamalıdır.</w:t>
      </w:r>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 xml:space="preserve">DAB </w:t>
      </w:r>
      <w:proofErr w:type="spellStart"/>
      <w:r w:rsidRPr="009434F8">
        <w:rPr>
          <w:rFonts w:ascii="Arial Narrow" w:hAnsi="Arial Narrow" w:cs="Arial"/>
          <w:sz w:val="20"/>
          <w:szCs w:val="20"/>
        </w:rPr>
        <w:t>Detection</w:t>
      </w:r>
      <w:proofErr w:type="spellEnd"/>
      <w:r w:rsidRPr="009434F8">
        <w:rPr>
          <w:rFonts w:ascii="Arial Narrow" w:hAnsi="Arial Narrow" w:cs="Arial"/>
          <w:sz w:val="20"/>
          <w:szCs w:val="20"/>
        </w:rPr>
        <w:t xml:space="preserve"> Kit. </w:t>
      </w:r>
    </w:p>
    <w:p w:rsidR="009E2C85" w:rsidRPr="009434F8" w:rsidRDefault="009E2C85" w:rsidP="009E2C85">
      <w:pPr>
        <w:numPr>
          <w:ilvl w:val="1"/>
          <w:numId w:val="1"/>
        </w:numPr>
        <w:rPr>
          <w:rFonts w:ascii="Arial Narrow" w:hAnsi="Arial Narrow" w:cs="Arial"/>
          <w:sz w:val="20"/>
          <w:szCs w:val="20"/>
        </w:rPr>
      </w:pPr>
      <w:proofErr w:type="spellStart"/>
      <w:r w:rsidRPr="009434F8">
        <w:rPr>
          <w:rFonts w:ascii="Arial Narrow" w:hAnsi="Arial Narrow" w:cs="Arial"/>
          <w:sz w:val="20"/>
          <w:szCs w:val="20"/>
        </w:rPr>
        <w:t>Deparafinizasyon</w:t>
      </w:r>
      <w:proofErr w:type="spellEnd"/>
      <w:r w:rsidRPr="009434F8">
        <w:rPr>
          <w:rFonts w:ascii="Arial Narrow" w:hAnsi="Arial Narrow" w:cs="Arial"/>
          <w:sz w:val="20"/>
          <w:szCs w:val="20"/>
        </w:rPr>
        <w:t xml:space="preserve"> solüsyonu</w:t>
      </w:r>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Yıkama solüsyonu</w:t>
      </w:r>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 xml:space="preserve">Yüksek ısıya uygun </w:t>
      </w:r>
      <w:proofErr w:type="spellStart"/>
      <w:r w:rsidRPr="009434F8">
        <w:rPr>
          <w:rFonts w:ascii="Arial Narrow" w:hAnsi="Arial Narrow" w:cs="Arial"/>
          <w:sz w:val="20"/>
          <w:szCs w:val="20"/>
        </w:rPr>
        <w:t>buffer</w:t>
      </w:r>
      <w:proofErr w:type="spellEnd"/>
      <w:r w:rsidRPr="009434F8">
        <w:rPr>
          <w:rFonts w:ascii="Arial Narrow" w:hAnsi="Arial Narrow" w:cs="Arial"/>
          <w:sz w:val="20"/>
          <w:szCs w:val="20"/>
        </w:rPr>
        <w:t xml:space="preserve"> (tampon solüsyonu)</w:t>
      </w:r>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 xml:space="preserve">Yüksek ısıya uygun </w:t>
      </w:r>
      <w:proofErr w:type="spellStart"/>
      <w:r w:rsidRPr="009434F8">
        <w:rPr>
          <w:rFonts w:ascii="Arial Narrow" w:hAnsi="Arial Narrow" w:cs="Arial"/>
          <w:sz w:val="20"/>
          <w:szCs w:val="20"/>
        </w:rPr>
        <w:t>likid</w:t>
      </w:r>
      <w:proofErr w:type="spellEnd"/>
      <w:r w:rsidRPr="009434F8">
        <w:rPr>
          <w:rFonts w:ascii="Arial Narrow" w:hAnsi="Arial Narrow" w:cs="Arial"/>
          <w:sz w:val="20"/>
          <w:szCs w:val="20"/>
        </w:rPr>
        <w:t xml:space="preserve"> kaplama solüsyonu</w:t>
      </w:r>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 xml:space="preserve">Antijen </w:t>
      </w:r>
      <w:proofErr w:type="spellStart"/>
      <w:r w:rsidRPr="009434F8">
        <w:rPr>
          <w:rFonts w:ascii="Arial Narrow" w:hAnsi="Arial Narrow" w:cs="Arial"/>
          <w:sz w:val="20"/>
          <w:szCs w:val="20"/>
        </w:rPr>
        <w:t>retrieval</w:t>
      </w:r>
      <w:proofErr w:type="spellEnd"/>
      <w:r w:rsidRPr="009434F8">
        <w:rPr>
          <w:rFonts w:ascii="Arial Narrow" w:hAnsi="Arial Narrow" w:cs="Arial"/>
          <w:sz w:val="20"/>
          <w:szCs w:val="20"/>
        </w:rPr>
        <w:t xml:space="preserve"> solüsyonları</w:t>
      </w:r>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Lamları etiketlemek üzere barkod etiketi</w:t>
      </w:r>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 xml:space="preserve">Enzim kullanılacak teknikler için </w:t>
      </w:r>
      <w:proofErr w:type="spellStart"/>
      <w:r w:rsidRPr="009434F8">
        <w:rPr>
          <w:rFonts w:ascii="Arial Narrow" w:hAnsi="Arial Narrow" w:cs="Arial"/>
          <w:sz w:val="20"/>
          <w:szCs w:val="20"/>
        </w:rPr>
        <w:t>protease</w:t>
      </w:r>
      <w:proofErr w:type="spellEnd"/>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 xml:space="preserve">Sinyal güçlendirilmesinin istendiği vakalar için </w:t>
      </w:r>
      <w:proofErr w:type="spellStart"/>
      <w:r w:rsidRPr="009434F8">
        <w:rPr>
          <w:rFonts w:ascii="Arial Narrow" w:hAnsi="Arial Narrow" w:cs="Arial"/>
          <w:sz w:val="20"/>
          <w:szCs w:val="20"/>
        </w:rPr>
        <w:t>amplification</w:t>
      </w:r>
      <w:proofErr w:type="spellEnd"/>
      <w:r w:rsidRPr="009434F8">
        <w:rPr>
          <w:rFonts w:ascii="Arial Narrow" w:hAnsi="Arial Narrow" w:cs="Arial"/>
          <w:sz w:val="20"/>
          <w:szCs w:val="20"/>
        </w:rPr>
        <w:t xml:space="preserve"> kit</w:t>
      </w:r>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 xml:space="preserve">Zıt boyama için </w:t>
      </w:r>
      <w:proofErr w:type="spellStart"/>
      <w:r w:rsidRPr="009434F8">
        <w:rPr>
          <w:rFonts w:ascii="Arial Narrow" w:hAnsi="Arial Narrow" w:cs="Arial"/>
          <w:sz w:val="20"/>
          <w:szCs w:val="20"/>
        </w:rPr>
        <w:t>Hematoxylin</w:t>
      </w:r>
      <w:proofErr w:type="spellEnd"/>
    </w:p>
    <w:p w:rsidR="009E2C85" w:rsidRPr="009434F8" w:rsidRDefault="009E2C85" w:rsidP="009E2C85">
      <w:pPr>
        <w:numPr>
          <w:ilvl w:val="1"/>
          <w:numId w:val="1"/>
        </w:numPr>
        <w:rPr>
          <w:rFonts w:ascii="Arial Narrow" w:hAnsi="Arial Narrow" w:cs="Arial"/>
          <w:sz w:val="20"/>
          <w:szCs w:val="20"/>
        </w:rPr>
      </w:pPr>
      <w:r w:rsidRPr="009434F8">
        <w:rPr>
          <w:rFonts w:ascii="Arial Narrow" w:hAnsi="Arial Narrow" w:cs="Arial"/>
          <w:sz w:val="20"/>
          <w:szCs w:val="20"/>
        </w:rPr>
        <w:t xml:space="preserve">Anti-zıt boyama için </w:t>
      </w:r>
      <w:proofErr w:type="spellStart"/>
      <w:r w:rsidRPr="009434F8">
        <w:rPr>
          <w:rFonts w:ascii="Arial Narrow" w:hAnsi="Arial Narrow" w:cs="Arial"/>
          <w:sz w:val="20"/>
          <w:szCs w:val="20"/>
        </w:rPr>
        <w:t>Bluing</w:t>
      </w:r>
      <w:proofErr w:type="spellEnd"/>
      <w:r w:rsidRPr="009434F8">
        <w:rPr>
          <w:rFonts w:ascii="Arial Narrow" w:hAnsi="Arial Narrow" w:cs="Arial"/>
          <w:sz w:val="20"/>
          <w:szCs w:val="20"/>
        </w:rPr>
        <w:t xml:space="preserve"> </w:t>
      </w:r>
      <w:proofErr w:type="spellStart"/>
      <w:r w:rsidRPr="009434F8">
        <w:rPr>
          <w:rFonts w:ascii="Arial Narrow" w:hAnsi="Arial Narrow" w:cs="Arial"/>
          <w:sz w:val="20"/>
          <w:szCs w:val="20"/>
        </w:rPr>
        <w:t>Reagent</w:t>
      </w:r>
      <w:proofErr w:type="spellEnd"/>
    </w:p>
    <w:p w:rsidR="009E2C85" w:rsidRPr="009434F8" w:rsidRDefault="009E2C85" w:rsidP="009E2C85">
      <w:pPr>
        <w:numPr>
          <w:ilvl w:val="0"/>
          <w:numId w:val="1"/>
        </w:numPr>
        <w:rPr>
          <w:rFonts w:ascii="Arial Narrow" w:hAnsi="Arial Narrow" w:cs="Arial"/>
          <w:sz w:val="20"/>
          <w:szCs w:val="20"/>
        </w:rPr>
      </w:pPr>
      <w:r w:rsidRPr="009434F8">
        <w:rPr>
          <w:rFonts w:ascii="Arial Narrow" w:hAnsi="Arial Narrow" w:cs="Arial"/>
          <w:sz w:val="20"/>
          <w:szCs w:val="20"/>
        </w:rPr>
        <w:t xml:space="preserve">Testlerde kullanılacak reaktifler </w:t>
      </w:r>
      <w:proofErr w:type="spellStart"/>
      <w:r w:rsidRPr="009434F8">
        <w:rPr>
          <w:rFonts w:ascii="Arial Narrow" w:hAnsi="Arial Narrow" w:cs="Arial"/>
          <w:sz w:val="20"/>
          <w:szCs w:val="20"/>
        </w:rPr>
        <w:t>barkodlanmış</w:t>
      </w:r>
      <w:proofErr w:type="spellEnd"/>
      <w:r w:rsidRPr="009434F8">
        <w:rPr>
          <w:rFonts w:ascii="Arial Narrow" w:hAnsi="Arial Narrow" w:cs="Arial"/>
          <w:sz w:val="20"/>
          <w:szCs w:val="20"/>
        </w:rPr>
        <w:t xml:space="preserve"> olarak gelmelidir. Bu barkodlar aracılığı ile reaktifin cinsi, seri numarası, lot numarası, son kullanım tarihi, kaç test olduğu vb. kalite kontrol bilgileri bir barkod okuyucu vasıtası ile otomatik olarak sisteme tanıtılabilir şekilde tasarlanmış olmalıdır. </w:t>
      </w:r>
    </w:p>
    <w:p w:rsidR="009E2C85" w:rsidRPr="009434F8" w:rsidRDefault="009E2C85" w:rsidP="009E2C85">
      <w:pPr>
        <w:numPr>
          <w:ilvl w:val="0"/>
          <w:numId w:val="1"/>
        </w:numPr>
        <w:rPr>
          <w:rFonts w:ascii="Arial Narrow" w:hAnsi="Arial Narrow" w:cs="Arial"/>
          <w:sz w:val="20"/>
          <w:szCs w:val="20"/>
        </w:rPr>
      </w:pPr>
      <w:r w:rsidRPr="009434F8">
        <w:rPr>
          <w:rFonts w:ascii="Arial Narrow" w:hAnsi="Arial Narrow" w:cs="Arial"/>
          <w:sz w:val="20"/>
          <w:szCs w:val="20"/>
        </w:rPr>
        <w:t>Tampon solüsyonlar hariç diğer reaktifler kullanıma hazır ambalajında olmalıdır.</w:t>
      </w:r>
    </w:p>
    <w:p w:rsidR="009E2C85" w:rsidRPr="009434F8" w:rsidRDefault="009E2C85" w:rsidP="009E2C85">
      <w:pPr>
        <w:numPr>
          <w:ilvl w:val="0"/>
          <w:numId w:val="1"/>
        </w:numPr>
        <w:rPr>
          <w:rFonts w:ascii="Arial Narrow" w:hAnsi="Arial Narrow" w:cs="Arial"/>
          <w:sz w:val="20"/>
          <w:szCs w:val="20"/>
        </w:rPr>
      </w:pPr>
      <w:r w:rsidRPr="009434F8">
        <w:rPr>
          <w:rFonts w:ascii="Arial Narrow" w:hAnsi="Arial Narrow" w:cs="Arial"/>
          <w:sz w:val="20"/>
          <w:szCs w:val="20"/>
        </w:rPr>
        <w:t>Reaktifler orijinal ambalajında olmalı ve ambalajlar üzerinde herhangi bir tahrifat veya sonradan yazılmış bir şey olmamalıdır.</w:t>
      </w:r>
    </w:p>
    <w:p w:rsidR="009E2C85" w:rsidRPr="009434F8" w:rsidRDefault="009E2C85" w:rsidP="009E2C85">
      <w:pPr>
        <w:numPr>
          <w:ilvl w:val="0"/>
          <w:numId w:val="1"/>
        </w:numPr>
        <w:rPr>
          <w:rFonts w:ascii="Arial Narrow" w:hAnsi="Arial Narrow" w:cs="Arial"/>
          <w:sz w:val="20"/>
          <w:szCs w:val="20"/>
        </w:rPr>
      </w:pPr>
      <w:proofErr w:type="spellStart"/>
      <w:r w:rsidRPr="009434F8">
        <w:rPr>
          <w:rFonts w:ascii="Arial Narrow" w:hAnsi="Arial Narrow" w:cs="Arial"/>
          <w:sz w:val="20"/>
          <w:szCs w:val="20"/>
        </w:rPr>
        <w:t>İmmünohistokimyasal</w:t>
      </w:r>
      <w:proofErr w:type="spellEnd"/>
      <w:r w:rsidRPr="009434F8">
        <w:rPr>
          <w:rFonts w:ascii="Arial Narrow" w:hAnsi="Arial Narrow" w:cs="Arial"/>
          <w:sz w:val="20"/>
          <w:szCs w:val="20"/>
        </w:rPr>
        <w:t xml:space="preserve"> testleri yapmak için verilen tüm sarf malzemeleri kliniğimiz mülkiyetindeki </w:t>
      </w:r>
      <w:r>
        <w:rPr>
          <w:rFonts w:ascii="Arial Narrow" w:hAnsi="Arial Narrow" w:cs="Arial"/>
          <w:sz w:val="20"/>
          <w:szCs w:val="20"/>
        </w:rPr>
        <w:t>ROCHE-</w:t>
      </w:r>
      <w:proofErr w:type="spellStart"/>
      <w:r w:rsidRPr="009434F8">
        <w:rPr>
          <w:rFonts w:ascii="Arial Narrow" w:hAnsi="Arial Narrow" w:cs="Arial"/>
          <w:sz w:val="20"/>
          <w:szCs w:val="20"/>
        </w:rPr>
        <w:t>V</w:t>
      </w:r>
      <w:r>
        <w:rPr>
          <w:rFonts w:ascii="Arial Narrow" w:hAnsi="Arial Narrow" w:cs="Arial"/>
          <w:sz w:val="20"/>
          <w:szCs w:val="20"/>
        </w:rPr>
        <w:t>entana</w:t>
      </w:r>
      <w:proofErr w:type="spellEnd"/>
      <w:r w:rsidRPr="009434F8">
        <w:rPr>
          <w:rFonts w:ascii="Arial Narrow" w:hAnsi="Arial Narrow" w:cs="Arial"/>
          <w:sz w:val="20"/>
          <w:szCs w:val="20"/>
        </w:rPr>
        <w:t xml:space="preserve"> </w:t>
      </w:r>
      <w:proofErr w:type="spellStart"/>
      <w:r w:rsidRPr="009434F8">
        <w:rPr>
          <w:rFonts w:ascii="Arial Narrow" w:hAnsi="Arial Narrow" w:cs="Arial"/>
          <w:sz w:val="20"/>
          <w:szCs w:val="20"/>
        </w:rPr>
        <w:t>Benchmark</w:t>
      </w:r>
      <w:proofErr w:type="spellEnd"/>
      <w:r w:rsidRPr="009434F8">
        <w:rPr>
          <w:rFonts w:ascii="Arial Narrow" w:hAnsi="Arial Narrow" w:cs="Arial"/>
          <w:sz w:val="20"/>
          <w:szCs w:val="20"/>
        </w:rPr>
        <w:t xml:space="preserve"> XT</w:t>
      </w:r>
      <w:r>
        <w:rPr>
          <w:rFonts w:ascii="Arial Narrow" w:hAnsi="Arial Narrow" w:cs="Arial"/>
          <w:sz w:val="20"/>
          <w:szCs w:val="20"/>
        </w:rPr>
        <w:t xml:space="preserve"> / ULTRA</w:t>
      </w:r>
      <w:r w:rsidRPr="009434F8">
        <w:rPr>
          <w:rFonts w:ascii="Arial Narrow" w:hAnsi="Arial Narrow" w:cs="Arial"/>
          <w:sz w:val="20"/>
          <w:szCs w:val="20"/>
        </w:rPr>
        <w:t xml:space="preserve"> marka otomatik boyama cihazında kullanılabilmelidir. </w:t>
      </w:r>
    </w:p>
    <w:p w:rsidR="009E2C85" w:rsidRDefault="009E2C85"/>
    <w:sectPr w:rsidR="009E2C85" w:rsidSect="006C00AF">
      <w:pgSz w:w="11906" w:h="16838"/>
      <w:pgMar w:top="1701"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573E5"/>
    <w:multiLevelType w:val="hybridMultilevel"/>
    <w:tmpl w:val="22E2B6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85"/>
    <w:rsid w:val="006C00AF"/>
    <w:rsid w:val="009E2C85"/>
    <w:rsid w:val="00A35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5349"/>
  <w15:chartTrackingRefBased/>
  <w15:docId w15:val="{4577E8B0-0B77-422B-88E0-26F2D516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C85"/>
    <w:pPr>
      <w:spacing w:after="0" w:line="240" w:lineRule="auto"/>
    </w:pPr>
    <w:rPr>
      <w:rFonts w:ascii="Times New Roman" w:eastAsia="SimSu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EPIFARMA LTD.ŞTİ.</dc:creator>
  <cp:keywords/>
  <dc:description/>
  <cp:lastModifiedBy>EPIFARMA LTD.ŞTİ.</cp:lastModifiedBy>
  <cp:revision>1</cp:revision>
  <dcterms:created xsi:type="dcterms:W3CDTF">2019-03-29T17:01:00Z</dcterms:created>
  <dcterms:modified xsi:type="dcterms:W3CDTF">2019-03-29T17:03:00Z</dcterms:modified>
</cp:coreProperties>
</file>